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365EF">
      <w:hyperlink r:id="rId5" w:history="1">
        <w:r>
          <w:rPr>
            <w:rStyle w:val="Collegamentoipertestuale"/>
          </w:rPr>
          <w:t>http://www.tmnews.it/web/sezioni/news/PN_20120130_00137.shtml</w:t>
        </w:r>
      </w:hyperlink>
    </w:p>
    <w:p w:rsidR="001365EF" w:rsidRDefault="001365EF">
      <w:r>
        <w:rPr>
          <w:noProof/>
          <w:lang w:eastAsia="it-IT"/>
        </w:rPr>
        <w:drawing>
          <wp:inline distT="0" distB="0" distL="0" distR="0" wp14:anchorId="783D8497" wp14:editId="0F6DB4C9">
            <wp:extent cx="5229225" cy="1143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EF"/>
    <w:rsid w:val="001365E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65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65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mnews.it/web/sezioni/news/PN_20120130_00137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2012-01-30T14:51:00Z</dcterms:created>
  <dcterms:modified xsi:type="dcterms:W3CDTF">2012-01-30T23:14:00Z</dcterms:modified>
</cp:coreProperties>
</file>